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EA" w:rsidRPr="000D33EA" w:rsidRDefault="000D33EA" w:rsidP="000D33EA">
      <w:pPr>
        <w:ind w:left="4253"/>
        <w:jc w:val="center"/>
        <w:rPr>
          <w:sz w:val="24"/>
          <w:szCs w:val="24"/>
        </w:rPr>
      </w:pPr>
      <w:r w:rsidRPr="000D33EA">
        <w:rPr>
          <w:sz w:val="24"/>
          <w:szCs w:val="24"/>
        </w:rPr>
        <w:t>Утверждена</w:t>
      </w:r>
    </w:p>
    <w:p w:rsidR="000D33EA" w:rsidRPr="000D33EA" w:rsidRDefault="000D33EA" w:rsidP="000D33EA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правлением ТСЖ «Забота»</w:t>
      </w:r>
    </w:p>
    <w:p w:rsidR="000D33EA" w:rsidRPr="000D33EA" w:rsidRDefault="00006A67" w:rsidP="000D33EA">
      <w:pPr>
        <w:pStyle w:val="2"/>
        <w:spacing w:after="0" w:line="240" w:lineRule="auto"/>
        <w:ind w:left="4253"/>
        <w:jc w:val="center"/>
      </w:pPr>
      <w:r>
        <w:t>06</w:t>
      </w:r>
      <w:r w:rsidR="007E1FA7">
        <w:t xml:space="preserve"> декабря  2013</w:t>
      </w:r>
      <w:r w:rsidR="000D33EA" w:rsidRPr="000D33EA">
        <w:t xml:space="preserve"> г</w:t>
      </w:r>
      <w:r w:rsidR="000D33EA">
        <w:t>ода</w:t>
      </w:r>
    </w:p>
    <w:p w:rsidR="000D33EA" w:rsidRPr="000D33EA" w:rsidRDefault="000A6D87" w:rsidP="000D33EA">
      <w:pPr>
        <w:pStyle w:val="a7"/>
        <w:spacing w:line="240" w:lineRule="auto"/>
        <w:ind w:left="4253" w:firstLine="0"/>
        <w:jc w:val="center"/>
      </w:pPr>
      <w:r>
        <w:t>протокол №</w:t>
      </w:r>
      <w:r w:rsidR="007E1FA7">
        <w:t>11</w:t>
      </w:r>
    </w:p>
    <w:p w:rsidR="000D33EA" w:rsidRPr="000D33EA" w:rsidRDefault="000D33EA" w:rsidP="000D33EA">
      <w:pPr>
        <w:rPr>
          <w:sz w:val="24"/>
          <w:szCs w:val="24"/>
        </w:rPr>
      </w:pPr>
    </w:p>
    <w:p w:rsidR="000D33EA" w:rsidRPr="000D33EA" w:rsidRDefault="000D33EA" w:rsidP="000D33EA">
      <w:pPr>
        <w:rPr>
          <w:sz w:val="24"/>
          <w:szCs w:val="24"/>
        </w:rPr>
      </w:pPr>
    </w:p>
    <w:p w:rsidR="000D33EA" w:rsidRPr="000D33EA" w:rsidRDefault="000D33EA" w:rsidP="000D33EA">
      <w:pPr>
        <w:jc w:val="center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УЧЕТНАЯ ПОЛИТИКА</w:t>
      </w:r>
    </w:p>
    <w:p w:rsidR="00A12DBB" w:rsidRDefault="00074347" w:rsidP="000D33EA">
      <w:pPr>
        <w:pStyle w:val="3"/>
        <w:jc w:val="center"/>
      </w:pPr>
      <w:r>
        <w:t>Т</w:t>
      </w:r>
      <w:r w:rsidR="00A12DBB">
        <w:t xml:space="preserve">оварищества собственников жилья </w:t>
      </w:r>
      <w:r>
        <w:t xml:space="preserve"> «Забота</w:t>
      </w:r>
      <w:r w:rsidR="000D33EA" w:rsidRPr="000D33EA">
        <w:t xml:space="preserve">» </w:t>
      </w:r>
    </w:p>
    <w:p w:rsidR="000D33EA" w:rsidRPr="00B65189" w:rsidRDefault="000D33EA" w:rsidP="000D33EA">
      <w:pPr>
        <w:pStyle w:val="3"/>
        <w:jc w:val="center"/>
        <w:rPr>
          <w:b/>
        </w:rPr>
      </w:pPr>
      <w:r w:rsidRPr="00B65189">
        <w:rPr>
          <w:b/>
        </w:rPr>
        <w:t>на 20</w:t>
      </w:r>
      <w:r w:rsidR="007E1FA7" w:rsidRPr="00B65189">
        <w:rPr>
          <w:b/>
        </w:rPr>
        <w:t>14</w:t>
      </w:r>
      <w:r w:rsidRPr="00B65189">
        <w:rPr>
          <w:b/>
        </w:rPr>
        <w:t xml:space="preserve"> год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1.</w:t>
      </w:r>
      <w:r w:rsidR="00A12DBB">
        <w:rPr>
          <w:b/>
          <w:bCs/>
          <w:sz w:val="24"/>
          <w:szCs w:val="24"/>
        </w:rPr>
        <w:t xml:space="preserve"> </w:t>
      </w:r>
      <w:r w:rsidRPr="000D33EA">
        <w:rPr>
          <w:b/>
          <w:bCs/>
          <w:sz w:val="24"/>
          <w:szCs w:val="24"/>
        </w:rPr>
        <w:t>Общие положения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 xml:space="preserve">1.1. ТСЖ </w:t>
      </w:r>
      <w:r w:rsidR="00074347">
        <w:rPr>
          <w:sz w:val="24"/>
          <w:szCs w:val="24"/>
        </w:rPr>
        <w:t xml:space="preserve">«Забота» </w:t>
      </w:r>
      <w:r w:rsidRPr="000D33EA">
        <w:rPr>
          <w:sz w:val="24"/>
          <w:szCs w:val="24"/>
        </w:rPr>
        <w:t xml:space="preserve">зарегистрировано </w:t>
      </w:r>
      <w:r w:rsidR="00074347">
        <w:rPr>
          <w:sz w:val="24"/>
          <w:szCs w:val="24"/>
        </w:rPr>
        <w:t>07 июля 2011 года</w:t>
      </w:r>
      <w:r w:rsidRPr="000D33EA">
        <w:rPr>
          <w:sz w:val="24"/>
          <w:szCs w:val="24"/>
        </w:rPr>
        <w:t>, Свидетельство №</w:t>
      </w:r>
      <w:r w:rsidR="00074347">
        <w:rPr>
          <w:sz w:val="24"/>
          <w:szCs w:val="24"/>
        </w:rPr>
        <w:t xml:space="preserve"> </w:t>
      </w:r>
      <w:r w:rsidR="00A12DBB">
        <w:rPr>
          <w:sz w:val="24"/>
          <w:szCs w:val="24"/>
        </w:rPr>
        <w:t xml:space="preserve">1112135000405. </w:t>
      </w:r>
      <w:r w:rsidR="00074347">
        <w:rPr>
          <w:sz w:val="24"/>
          <w:szCs w:val="24"/>
        </w:rPr>
        <w:t xml:space="preserve">ТСЖ </w:t>
      </w:r>
      <w:r w:rsidRPr="000D33EA">
        <w:rPr>
          <w:sz w:val="24"/>
          <w:szCs w:val="24"/>
        </w:rPr>
        <w:t xml:space="preserve">является негосударственной некоммерческой организацией, основанной на членстве.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 xml:space="preserve">1.2. Целью и содержанием основной (уставной) деятельности ТСЖ является </w:t>
      </w:r>
      <w:r w:rsidRPr="000D33EA">
        <w:rPr>
          <w:i/>
          <w:iCs/>
          <w:sz w:val="24"/>
          <w:szCs w:val="24"/>
        </w:rPr>
        <w:t>обеспечение эксплуатации общего имущества</w:t>
      </w:r>
      <w:r w:rsidRPr="000D33EA">
        <w:rPr>
          <w:sz w:val="24"/>
          <w:szCs w:val="24"/>
        </w:rPr>
        <w:t xml:space="preserve"> в многоквартирном доме, т</w:t>
      </w:r>
      <w:r w:rsidR="00A12DBB">
        <w:rPr>
          <w:sz w:val="24"/>
          <w:szCs w:val="24"/>
        </w:rPr>
        <w:t>о есть</w:t>
      </w:r>
      <w:r w:rsidRPr="000D33EA">
        <w:rPr>
          <w:sz w:val="24"/>
          <w:szCs w:val="24"/>
        </w:rPr>
        <w:t xml:space="preserve"> содержание, обслужив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ние, сохранение, текущий и капитальный ремонт общего имущества и управление общим имуществом. Состав общего имущества в многоквартирном доме определен Жилищным к</w:t>
      </w:r>
      <w:r w:rsidRPr="000D33EA">
        <w:rPr>
          <w:sz w:val="24"/>
          <w:szCs w:val="24"/>
        </w:rPr>
        <w:t>о</w:t>
      </w:r>
      <w:r w:rsidRPr="000D33EA">
        <w:rPr>
          <w:sz w:val="24"/>
          <w:szCs w:val="24"/>
        </w:rPr>
        <w:t>дексом  РФ (ст. 36).</w:t>
      </w:r>
    </w:p>
    <w:p w:rsidR="000D33EA" w:rsidRPr="000D33EA" w:rsidRDefault="000D33EA" w:rsidP="000D33EA">
      <w:pPr>
        <w:pStyle w:val="a5"/>
        <w:jc w:val="both"/>
        <w:rPr>
          <w:b w:val="0"/>
          <w:bCs w:val="0"/>
          <w:sz w:val="24"/>
          <w:szCs w:val="24"/>
        </w:rPr>
      </w:pPr>
      <w:r w:rsidRPr="000D33EA">
        <w:rPr>
          <w:b w:val="0"/>
          <w:bCs w:val="0"/>
          <w:sz w:val="24"/>
          <w:szCs w:val="24"/>
        </w:rPr>
        <w:t>1.3. Бухгалтерский учет в ТСЖ ведется в соответствии с Законом «О бухгалтерском учете», Положением по ведению бухгалтерского учета и бухгалтерской отчетности в Российской Федерации, Положениями по бухгалтерскому учету (ПБУ), Планом счетов бухгалтерского учета финансово-хозяйственной деятельности и Инструкцией по его применению, другими действующими нормативными документами.</w:t>
      </w:r>
    </w:p>
    <w:p w:rsidR="000D33EA" w:rsidRPr="000D33EA" w:rsidRDefault="000D33EA" w:rsidP="000D33EA">
      <w:pPr>
        <w:pStyle w:val="a5"/>
        <w:jc w:val="both"/>
        <w:rPr>
          <w:b w:val="0"/>
          <w:bCs w:val="0"/>
          <w:sz w:val="24"/>
          <w:szCs w:val="24"/>
        </w:rPr>
      </w:pPr>
      <w:r w:rsidRPr="000D33EA">
        <w:rPr>
          <w:b w:val="0"/>
          <w:bCs w:val="0"/>
          <w:sz w:val="24"/>
          <w:szCs w:val="24"/>
        </w:rPr>
        <w:t xml:space="preserve">1.4. Ответственность за организацию бухгалтерского учета и соблюдение законодательства при выполнении хозяйственных операций несет </w:t>
      </w:r>
      <w:r w:rsidR="00A12DBB">
        <w:rPr>
          <w:b w:val="0"/>
          <w:bCs w:val="0"/>
          <w:sz w:val="24"/>
          <w:szCs w:val="24"/>
        </w:rPr>
        <w:t>председатель правления ТСЖ</w:t>
      </w:r>
      <w:r w:rsidRPr="000D33EA">
        <w:rPr>
          <w:b w:val="0"/>
          <w:bCs w:val="0"/>
          <w:sz w:val="24"/>
          <w:szCs w:val="24"/>
        </w:rPr>
        <w:t>.</w:t>
      </w:r>
    </w:p>
    <w:p w:rsidR="000D33EA" w:rsidRPr="000D33EA" w:rsidRDefault="000D33EA" w:rsidP="000D33EA">
      <w:pPr>
        <w:pStyle w:val="a5"/>
        <w:jc w:val="both"/>
        <w:rPr>
          <w:b w:val="0"/>
          <w:bCs w:val="0"/>
          <w:sz w:val="24"/>
          <w:szCs w:val="24"/>
        </w:rPr>
      </w:pPr>
      <w:r w:rsidRPr="000D33EA">
        <w:rPr>
          <w:b w:val="0"/>
          <w:bCs w:val="0"/>
          <w:sz w:val="24"/>
          <w:szCs w:val="24"/>
        </w:rPr>
        <w:t xml:space="preserve">1.5. Ведение бухгалтерского учета и своевременное предоставление полной и достоверной отчетности в установленные сроки </w:t>
      </w:r>
      <w:r w:rsidR="00A12DBB">
        <w:rPr>
          <w:b w:val="0"/>
          <w:bCs w:val="0"/>
          <w:sz w:val="24"/>
          <w:szCs w:val="24"/>
        </w:rPr>
        <w:t>осуществляет бухгалтер ТСЖ</w:t>
      </w:r>
      <w:r w:rsidRPr="000D33EA">
        <w:rPr>
          <w:b w:val="0"/>
          <w:bCs w:val="0"/>
          <w:sz w:val="24"/>
          <w:szCs w:val="24"/>
        </w:rPr>
        <w:t>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2. Целевые поступления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2.1. Основным ист</w:t>
      </w:r>
      <w:r w:rsidR="00A12DBB">
        <w:rPr>
          <w:sz w:val="24"/>
          <w:szCs w:val="24"/>
        </w:rPr>
        <w:t>очником финансирования ТСЖ</w:t>
      </w:r>
      <w:r w:rsidRPr="000D33EA">
        <w:rPr>
          <w:sz w:val="24"/>
          <w:szCs w:val="24"/>
        </w:rPr>
        <w:t xml:space="preserve"> служат целевые поступления на содерж</w:t>
      </w:r>
      <w:r w:rsidRPr="000D33EA">
        <w:rPr>
          <w:sz w:val="24"/>
          <w:szCs w:val="24"/>
        </w:rPr>
        <w:t>а</w:t>
      </w:r>
      <w:r w:rsidR="00A12DBB">
        <w:rPr>
          <w:sz w:val="24"/>
          <w:szCs w:val="24"/>
        </w:rPr>
        <w:t>ние товарищества</w:t>
      </w:r>
      <w:r w:rsidRPr="000D33EA">
        <w:rPr>
          <w:sz w:val="24"/>
          <w:szCs w:val="24"/>
        </w:rPr>
        <w:t xml:space="preserve"> и ведение уставной деятельности.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К целевым поступлениям относятся вступительные взносы, членские взносы и ассигнования из бюджета.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i/>
          <w:iCs/>
          <w:sz w:val="24"/>
          <w:szCs w:val="24"/>
        </w:rPr>
        <w:t>Вступительные взносы</w:t>
      </w:r>
      <w:r w:rsidRPr="000D33EA">
        <w:rPr>
          <w:sz w:val="24"/>
          <w:szCs w:val="24"/>
        </w:rPr>
        <w:t xml:space="preserve"> – денежные средства, вносимые на покрытие расходов, связанных с появлением новых собственников помещений (в том</w:t>
      </w:r>
      <w:r w:rsidR="00A12DBB">
        <w:rPr>
          <w:sz w:val="24"/>
          <w:szCs w:val="24"/>
        </w:rPr>
        <w:t xml:space="preserve"> числе приемом новых членов ТСЖ).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i/>
          <w:iCs/>
          <w:sz w:val="24"/>
          <w:szCs w:val="24"/>
        </w:rPr>
        <w:t>Членские взносы</w:t>
      </w:r>
      <w:r w:rsidRPr="000D33EA">
        <w:rPr>
          <w:sz w:val="24"/>
          <w:szCs w:val="24"/>
        </w:rPr>
        <w:t xml:space="preserve"> – обязательные платежи, </w:t>
      </w:r>
      <w:r w:rsidR="00A12DBB">
        <w:rPr>
          <w:sz w:val="24"/>
          <w:szCs w:val="24"/>
        </w:rPr>
        <w:t xml:space="preserve">вносимые членами ТСЖ </w:t>
      </w:r>
      <w:r w:rsidRPr="000D33EA">
        <w:rPr>
          <w:sz w:val="24"/>
          <w:szCs w:val="24"/>
        </w:rPr>
        <w:t xml:space="preserve"> (собственниками жилых и нежилых помещений) на покрытие расходов по обеспечению эксплуатации общего имущ</w:t>
      </w:r>
      <w:r w:rsidRPr="000D33EA">
        <w:rPr>
          <w:sz w:val="24"/>
          <w:szCs w:val="24"/>
        </w:rPr>
        <w:t>е</w:t>
      </w:r>
      <w:r w:rsidRPr="000D33EA">
        <w:rPr>
          <w:sz w:val="24"/>
          <w:szCs w:val="24"/>
        </w:rPr>
        <w:t xml:space="preserve">ства. Членские взносы делятся на </w:t>
      </w:r>
      <w:r w:rsidRPr="000D33EA">
        <w:rPr>
          <w:i/>
          <w:iCs/>
          <w:sz w:val="24"/>
          <w:szCs w:val="24"/>
        </w:rPr>
        <w:t>текущие</w:t>
      </w:r>
      <w:r w:rsidRPr="000D33EA">
        <w:rPr>
          <w:sz w:val="24"/>
          <w:szCs w:val="24"/>
        </w:rPr>
        <w:t xml:space="preserve"> – ежемесячно вносимые на покрытие предусмо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>ренных сметой расходов по обеспечению эксплуатации общего имущества и</w:t>
      </w:r>
      <w:r w:rsidRPr="000D33EA">
        <w:rPr>
          <w:i/>
          <w:iCs/>
          <w:sz w:val="24"/>
          <w:szCs w:val="24"/>
        </w:rPr>
        <w:t xml:space="preserve"> дополнител</w:t>
      </w:r>
      <w:r w:rsidRPr="000D33EA">
        <w:rPr>
          <w:i/>
          <w:iCs/>
          <w:sz w:val="24"/>
          <w:szCs w:val="24"/>
        </w:rPr>
        <w:t>ь</w:t>
      </w:r>
      <w:r w:rsidRPr="000D33EA">
        <w:rPr>
          <w:i/>
          <w:iCs/>
          <w:sz w:val="24"/>
          <w:szCs w:val="24"/>
        </w:rPr>
        <w:t>ные</w:t>
      </w:r>
      <w:r w:rsidRPr="000D33EA">
        <w:rPr>
          <w:sz w:val="24"/>
          <w:szCs w:val="24"/>
        </w:rPr>
        <w:t xml:space="preserve"> – вносимые на покрытие перерасхода по смете.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i/>
          <w:iCs/>
          <w:sz w:val="24"/>
          <w:szCs w:val="24"/>
        </w:rPr>
        <w:t xml:space="preserve">Ассигнования из бюджета </w:t>
      </w:r>
      <w:r w:rsidRPr="000D33EA">
        <w:rPr>
          <w:sz w:val="24"/>
          <w:szCs w:val="24"/>
        </w:rPr>
        <w:t>– целевые поступления из бюджета в виде субсидий по комм</w:t>
      </w:r>
      <w:r w:rsidRPr="000D33EA">
        <w:rPr>
          <w:sz w:val="24"/>
          <w:szCs w:val="24"/>
        </w:rPr>
        <w:t>у</w:t>
      </w:r>
      <w:r w:rsidRPr="000D33EA">
        <w:rPr>
          <w:sz w:val="24"/>
          <w:szCs w:val="24"/>
        </w:rPr>
        <w:t>нальным платежам, дотаций и субвенций на обеспечение эксплуатации общего имущества (в том числе на провед</w:t>
      </w:r>
      <w:r w:rsidR="00A12DBB">
        <w:rPr>
          <w:sz w:val="24"/>
          <w:szCs w:val="24"/>
        </w:rPr>
        <w:t>ение капитального ремонта).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 xml:space="preserve">2.2. Все целевые поступления отражаются по кредиту счета 86 «Целевое финансирование». Для каждого вида целевых поступлений к счету 86 открыт субсчет.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2.3. Целевые поступления не являются объектом налогообложения (п. 3 ст. 39 НК РФ; п. 2 ст. 251 НК РФ).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2.4. Суммы превышения целевых поступлений над расходами, как и суммы превышения ра</w:t>
      </w:r>
      <w:r w:rsidRPr="000D33EA">
        <w:rPr>
          <w:sz w:val="24"/>
          <w:szCs w:val="24"/>
        </w:rPr>
        <w:t>с</w:t>
      </w:r>
      <w:r w:rsidRPr="000D33EA">
        <w:rPr>
          <w:sz w:val="24"/>
          <w:szCs w:val="24"/>
        </w:rPr>
        <w:t>ходов над целевыми поступлениями засчитываются или добираются в последующие отче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lastRenderedPageBreak/>
        <w:t>ные периоды. Указанные суммы на финансовые р</w:t>
      </w:r>
      <w:r w:rsidR="00A12DBB">
        <w:rPr>
          <w:sz w:val="24"/>
          <w:szCs w:val="24"/>
        </w:rPr>
        <w:t>езультаты деятельности ТСЖ</w:t>
      </w:r>
      <w:r w:rsidRPr="000D33EA">
        <w:rPr>
          <w:sz w:val="24"/>
          <w:szCs w:val="24"/>
        </w:rPr>
        <w:t xml:space="preserve"> не относятся и на счете 99 «Прибыли и убытки» не учитываются.</w:t>
      </w:r>
    </w:p>
    <w:p w:rsidR="000D33EA" w:rsidRPr="000D33EA" w:rsidRDefault="000D33EA" w:rsidP="000D33EA">
      <w:pPr>
        <w:pStyle w:val="a5"/>
        <w:jc w:val="both"/>
        <w:rPr>
          <w:b w:val="0"/>
          <w:bCs w:val="0"/>
          <w:sz w:val="24"/>
          <w:szCs w:val="24"/>
        </w:rPr>
      </w:pPr>
      <w:r w:rsidRPr="000D33EA">
        <w:rPr>
          <w:b w:val="0"/>
          <w:bCs w:val="0"/>
          <w:sz w:val="24"/>
          <w:szCs w:val="24"/>
        </w:rPr>
        <w:t>2.5. Целевые средства могут поступать как на расчетн</w:t>
      </w:r>
      <w:r w:rsidR="00A12DBB">
        <w:rPr>
          <w:b w:val="0"/>
          <w:bCs w:val="0"/>
          <w:sz w:val="24"/>
          <w:szCs w:val="24"/>
        </w:rPr>
        <w:t>ый счет, так и в кассу ТСЖ</w:t>
      </w:r>
      <w:r w:rsidRPr="000D33EA">
        <w:rPr>
          <w:b w:val="0"/>
          <w:bCs w:val="0"/>
          <w:sz w:val="24"/>
          <w:szCs w:val="24"/>
        </w:rPr>
        <w:t>. При этом остаток наличных денежных средств в кассе на конец дня не должен превышать установле</w:t>
      </w:r>
      <w:r w:rsidRPr="000D33EA">
        <w:rPr>
          <w:b w:val="0"/>
          <w:bCs w:val="0"/>
          <w:sz w:val="24"/>
          <w:szCs w:val="24"/>
        </w:rPr>
        <w:t>н</w:t>
      </w:r>
      <w:r w:rsidRPr="000D33EA">
        <w:rPr>
          <w:b w:val="0"/>
          <w:bCs w:val="0"/>
          <w:sz w:val="24"/>
          <w:szCs w:val="24"/>
        </w:rPr>
        <w:t xml:space="preserve">ного по согласованию с банком лимита.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2.6. Расходование целевых поступлений осуществляется согласно смете, утвержденной о</w:t>
      </w:r>
      <w:r w:rsidRPr="000D33EA">
        <w:rPr>
          <w:sz w:val="24"/>
          <w:szCs w:val="24"/>
        </w:rPr>
        <w:t>б</w:t>
      </w:r>
      <w:r w:rsidRPr="000D33EA">
        <w:rPr>
          <w:sz w:val="24"/>
          <w:szCs w:val="24"/>
        </w:rPr>
        <w:t>щим собранием собственников помещений.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2.7. Сметой предусмотрено создание и пополнение резервов на текущий и капитальный р</w:t>
      </w:r>
      <w:r w:rsidRPr="000D33EA">
        <w:rPr>
          <w:sz w:val="24"/>
          <w:szCs w:val="24"/>
        </w:rPr>
        <w:t>е</w:t>
      </w:r>
      <w:r w:rsidRPr="000D33EA">
        <w:rPr>
          <w:sz w:val="24"/>
          <w:szCs w:val="24"/>
        </w:rPr>
        <w:t>монт общего имущества, на восстановление основных средств, других резервов в целях у</w:t>
      </w:r>
      <w:r w:rsidRPr="000D33EA">
        <w:rPr>
          <w:sz w:val="24"/>
          <w:szCs w:val="24"/>
        </w:rPr>
        <w:t>с</w:t>
      </w:r>
      <w:r w:rsidR="00A12DBB">
        <w:rPr>
          <w:sz w:val="24"/>
          <w:szCs w:val="24"/>
        </w:rPr>
        <w:t>тавной деятельности ТСЖ</w:t>
      </w:r>
      <w:r w:rsidRPr="000D33EA">
        <w:rPr>
          <w:sz w:val="24"/>
          <w:szCs w:val="24"/>
        </w:rPr>
        <w:t>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2.8.Суммы, уплаченные собственниками, но не по</w:t>
      </w:r>
      <w:r w:rsidR="00A12DBB">
        <w:rPr>
          <w:sz w:val="24"/>
          <w:szCs w:val="24"/>
        </w:rPr>
        <w:t>ступившие на расчетный счет ТСЖ</w:t>
      </w:r>
      <w:r w:rsidRPr="000D33EA">
        <w:rPr>
          <w:sz w:val="24"/>
          <w:szCs w:val="24"/>
        </w:rPr>
        <w:t xml:space="preserve"> в теч</w:t>
      </w:r>
      <w:r w:rsidRPr="000D33EA">
        <w:rPr>
          <w:sz w:val="24"/>
          <w:szCs w:val="24"/>
        </w:rPr>
        <w:t>е</w:t>
      </w:r>
      <w:r w:rsidR="00A12DBB">
        <w:rPr>
          <w:sz w:val="24"/>
          <w:szCs w:val="24"/>
        </w:rPr>
        <w:t>ние трех</w:t>
      </w:r>
      <w:r w:rsidRPr="000D33EA">
        <w:rPr>
          <w:sz w:val="24"/>
          <w:szCs w:val="24"/>
        </w:rPr>
        <w:t xml:space="preserve"> месяцев, считаются безнадежно потерянными и списываются за счет целевых п</w:t>
      </w:r>
      <w:r w:rsidRPr="000D33EA">
        <w:rPr>
          <w:sz w:val="24"/>
          <w:szCs w:val="24"/>
        </w:rPr>
        <w:t>о</w:t>
      </w:r>
      <w:r w:rsidRPr="000D33EA">
        <w:rPr>
          <w:sz w:val="24"/>
          <w:szCs w:val="24"/>
        </w:rPr>
        <w:t>ступлений (за счет сметы).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2.9.Ошибочно поступи</w:t>
      </w:r>
      <w:r w:rsidR="00912024">
        <w:rPr>
          <w:sz w:val="24"/>
          <w:szCs w:val="24"/>
        </w:rPr>
        <w:t>вшие на расчетный счет ТСЖ</w:t>
      </w:r>
      <w:r w:rsidRPr="000D33EA">
        <w:rPr>
          <w:sz w:val="24"/>
          <w:szCs w:val="24"/>
        </w:rPr>
        <w:t xml:space="preserve"> суммы, не выясненные и не истреб</w:t>
      </w:r>
      <w:r w:rsidRPr="000D33EA">
        <w:rPr>
          <w:sz w:val="24"/>
          <w:szCs w:val="24"/>
        </w:rPr>
        <w:t>о</w:t>
      </w:r>
      <w:r w:rsidR="00912024">
        <w:rPr>
          <w:sz w:val="24"/>
          <w:szCs w:val="24"/>
        </w:rPr>
        <w:t xml:space="preserve">ванные в течение трех </w:t>
      </w:r>
      <w:r w:rsidRPr="000D33EA">
        <w:rPr>
          <w:sz w:val="24"/>
          <w:szCs w:val="24"/>
        </w:rPr>
        <w:t>месяцев, считаются безнадежно невыясненными и признаются прочим доходом.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3. Взносы собственников,</w:t>
      </w:r>
      <w:r w:rsidR="00912024">
        <w:rPr>
          <w:b/>
          <w:bCs/>
          <w:sz w:val="24"/>
          <w:szCs w:val="24"/>
        </w:rPr>
        <w:t xml:space="preserve"> не являющихся членами ТСЖ.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3.1. Собственники помещений,</w:t>
      </w:r>
      <w:r w:rsidR="00912024">
        <w:rPr>
          <w:sz w:val="24"/>
          <w:szCs w:val="24"/>
        </w:rPr>
        <w:t xml:space="preserve"> не являющиеся членами ТСЖ</w:t>
      </w:r>
      <w:r w:rsidRPr="000D33EA">
        <w:rPr>
          <w:sz w:val="24"/>
          <w:szCs w:val="24"/>
        </w:rPr>
        <w:t>, в соответствии с п. 8 ст. 138 ЖК РФ вы</w:t>
      </w:r>
      <w:r w:rsidR="00912024">
        <w:rPr>
          <w:sz w:val="24"/>
          <w:szCs w:val="24"/>
        </w:rPr>
        <w:t>ступают по отношению к ТСЖ</w:t>
      </w:r>
      <w:r w:rsidRPr="000D33EA">
        <w:rPr>
          <w:sz w:val="24"/>
          <w:szCs w:val="24"/>
        </w:rPr>
        <w:t xml:space="preserve"> в роли доверителей. Их взносы на осуществление уставной деятельности представляют собой обязательные платежи, направляе</w:t>
      </w:r>
      <w:r w:rsidR="00912024">
        <w:rPr>
          <w:sz w:val="24"/>
          <w:szCs w:val="24"/>
        </w:rPr>
        <w:t>мые</w:t>
      </w:r>
      <w:r w:rsidRPr="000D33EA">
        <w:rPr>
          <w:sz w:val="24"/>
          <w:szCs w:val="24"/>
        </w:rPr>
        <w:t xml:space="preserve"> товарищ</w:t>
      </w:r>
      <w:r w:rsidRPr="000D33EA">
        <w:rPr>
          <w:sz w:val="24"/>
          <w:szCs w:val="24"/>
        </w:rPr>
        <w:t>е</w:t>
      </w:r>
      <w:r w:rsidR="00912024">
        <w:rPr>
          <w:sz w:val="24"/>
          <w:szCs w:val="24"/>
        </w:rPr>
        <w:t>ству</w:t>
      </w:r>
      <w:r w:rsidRPr="000D33EA">
        <w:rPr>
          <w:sz w:val="24"/>
          <w:szCs w:val="24"/>
        </w:rPr>
        <w:t xml:space="preserve"> в счет возмещения затрат по обеспечению эксплуатации общего имущества.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3.2. Размер взносов собственников – не членов ТСЖ определяется аналогично размеру чле</w:t>
      </w:r>
      <w:r w:rsidRPr="000D33EA">
        <w:rPr>
          <w:sz w:val="24"/>
          <w:szCs w:val="24"/>
        </w:rPr>
        <w:t>н</w:t>
      </w:r>
      <w:r w:rsidRPr="000D33EA">
        <w:rPr>
          <w:sz w:val="24"/>
          <w:szCs w:val="24"/>
        </w:rPr>
        <w:t xml:space="preserve">ских взносов членов ТСЖ </w:t>
      </w:r>
      <w:r w:rsidR="00912024">
        <w:rPr>
          <w:sz w:val="24"/>
          <w:szCs w:val="24"/>
        </w:rPr>
        <w:t xml:space="preserve">, </w:t>
      </w:r>
      <w:r w:rsidRPr="000D33EA">
        <w:rPr>
          <w:sz w:val="24"/>
          <w:szCs w:val="24"/>
        </w:rPr>
        <w:t>т</w:t>
      </w:r>
      <w:r w:rsidR="00912024">
        <w:rPr>
          <w:sz w:val="24"/>
          <w:szCs w:val="24"/>
        </w:rPr>
        <w:t>о есть</w:t>
      </w:r>
      <w:r w:rsidRPr="000D33EA">
        <w:rPr>
          <w:sz w:val="24"/>
          <w:szCs w:val="24"/>
        </w:rPr>
        <w:t xml:space="preserve"> соответствии с требованием ст. 249 ГК РФ и ст. 39 ЖК РФ.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3.3. В соответствии с пп. 3 п. 3 ст. 39 НК РФ взносы с</w:t>
      </w:r>
      <w:r w:rsidR="00912024">
        <w:rPr>
          <w:sz w:val="24"/>
          <w:szCs w:val="24"/>
        </w:rPr>
        <w:t xml:space="preserve">обственников на осуществление </w:t>
      </w:r>
      <w:r w:rsidRPr="000D33EA">
        <w:rPr>
          <w:sz w:val="24"/>
          <w:szCs w:val="24"/>
        </w:rPr>
        <w:t>тов</w:t>
      </w:r>
      <w:r w:rsidRPr="000D33EA">
        <w:rPr>
          <w:sz w:val="24"/>
          <w:szCs w:val="24"/>
        </w:rPr>
        <w:t>а</w:t>
      </w:r>
      <w:r w:rsidR="00912024">
        <w:rPr>
          <w:sz w:val="24"/>
          <w:szCs w:val="24"/>
        </w:rPr>
        <w:t>риществом</w:t>
      </w:r>
      <w:r w:rsidRPr="000D33EA">
        <w:rPr>
          <w:sz w:val="24"/>
          <w:szCs w:val="24"/>
        </w:rPr>
        <w:t xml:space="preserve"> основной уставной деятельности, не связанной с предпринимательской деятел</w:t>
      </w:r>
      <w:r w:rsidRPr="000D33EA">
        <w:rPr>
          <w:sz w:val="24"/>
          <w:szCs w:val="24"/>
        </w:rPr>
        <w:t>ь</w:t>
      </w:r>
      <w:r w:rsidRPr="000D33EA">
        <w:rPr>
          <w:sz w:val="24"/>
          <w:szCs w:val="24"/>
        </w:rPr>
        <w:t>ностью, не признаются реализацией и, согласно пп. 1 п. 2 ст. 146, не являются объектом о</w:t>
      </w:r>
      <w:r w:rsidRPr="000D33EA">
        <w:rPr>
          <w:sz w:val="24"/>
          <w:szCs w:val="24"/>
        </w:rPr>
        <w:t>б</w:t>
      </w:r>
      <w:r w:rsidRPr="000D33EA">
        <w:rPr>
          <w:sz w:val="24"/>
          <w:szCs w:val="24"/>
        </w:rPr>
        <w:t xml:space="preserve">ложения налогом на добавленную стоимость.  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3.4. В соответствии с пп. 9 п. 1 ст. 251 НК РФ имущество (включая денежные средства), п</w:t>
      </w:r>
      <w:r w:rsidRPr="000D33EA">
        <w:rPr>
          <w:sz w:val="24"/>
          <w:szCs w:val="24"/>
        </w:rPr>
        <w:t>о</w:t>
      </w:r>
      <w:r w:rsidRPr="000D33EA">
        <w:rPr>
          <w:sz w:val="24"/>
          <w:szCs w:val="24"/>
        </w:rPr>
        <w:t xml:space="preserve">ступившее </w:t>
      </w:r>
      <w:r w:rsidR="00912024">
        <w:rPr>
          <w:sz w:val="24"/>
          <w:szCs w:val="24"/>
        </w:rPr>
        <w:t>товариществу</w:t>
      </w:r>
      <w:r w:rsidRPr="000D33EA">
        <w:rPr>
          <w:sz w:val="24"/>
          <w:szCs w:val="24"/>
        </w:rPr>
        <w:t xml:space="preserve"> на основе представительства, не учитывается при определении н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логовой базы по налогу на прибыль.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3.5. Взносы собственников – не членов ТСЖ начисляются по дебету счета 76-1 «Расчеты с собственниками» в корреспонденции со счетом 76-5 «Расчет</w:t>
      </w:r>
      <w:r w:rsidR="00912024">
        <w:rPr>
          <w:sz w:val="24"/>
          <w:szCs w:val="24"/>
        </w:rPr>
        <w:t>ы по взносам не членов ТСЖ</w:t>
      </w:r>
      <w:r w:rsidRPr="000D33EA">
        <w:rPr>
          <w:sz w:val="24"/>
          <w:szCs w:val="24"/>
        </w:rPr>
        <w:t>». При этом по кредиту счета 76-5 образуется обязательство ТСЖ перед собственниками по и</w:t>
      </w:r>
      <w:r w:rsidRPr="000D33EA">
        <w:rPr>
          <w:sz w:val="24"/>
          <w:szCs w:val="24"/>
        </w:rPr>
        <w:t>с</w:t>
      </w:r>
      <w:r w:rsidRPr="000D33EA">
        <w:rPr>
          <w:sz w:val="24"/>
          <w:szCs w:val="24"/>
        </w:rPr>
        <w:t>пользованию начисленных взносов строго по назначению, т</w:t>
      </w:r>
      <w:r w:rsidR="00912024">
        <w:rPr>
          <w:sz w:val="24"/>
          <w:szCs w:val="24"/>
        </w:rPr>
        <w:t>о есть</w:t>
      </w:r>
      <w:r w:rsidRPr="000D33EA">
        <w:rPr>
          <w:sz w:val="24"/>
          <w:szCs w:val="24"/>
        </w:rPr>
        <w:t xml:space="preserve"> на покрытие предусмо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>ренных сметой расходов по обеспечению эксплуатации общего имущества.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Ежемесячно счет 76-5 дебетуется на долю месячных сметных расходов, приходящихся на соб</w:t>
      </w:r>
      <w:r w:rsidR="00912024">
        <w:rPr>
          <w:sz w:val="24"/>
          <w:szCs w:val="24"/>
        </w:rPr>
        <w:t xml:space="preserve">ственников – не членов ТСЖ </w:t>
      </w:r>
      <w:r w:rsidRPr="000D33EA">
        <w:rPr>
          <w:sz w:val="24"/>
          <w:szCs w:val="24"/>
        </w:rPr>
        <w:t xml:space="preserve"> в корреспонденции со счетом 96-1 «Расходы по смете» (см. пункт 8.2).   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 xml:space="preserve">4. Коммунальные платежи 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912024" w:rsidP="000D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На расчетный счет ТСЖ </w:t>
      </w:r>
      <w:r w:rsidR="000D33EA" w:rsidRPr="000D33EA">
        <w:rPr>
          <w:sz w:val="24"/>
          <w:szCs w:val="24"/>
        </w:rPr>
        <w:t xml:space="preserve"> поступают также от собственников обязательные платежи за оказываемые им коммунальные и иные услуги (коммунальные платежи).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4.2. Коммунальные и иные услуги оказываются собственникам помещений соответству</w:t>
      </w:r>
      <w:r w:rsidRPr="000D33EA">
        <w:rPr>
          <w:sz w:val="24"/>
          <w:szCs w:val="24"/>
        </w:rPr>
        <w:t>ю</w:t>
      </w:r>
      <w:r w:rsidRPr="000D33EA">
        <w:rPr>
          <w:sz w:val="24"/>
          <w:szCs w:val="24"/>
        </w:rPr>
        <w:t>щими обслуживающими организациями.</w:t>
      </w:r>
    </w:p>
    <w:p w:rsidR="000D33EA" w:rsidRPr="000D33EA" w:rsidRDefault="00912024" w:rsidP="000D33EA">
      <w:pPr>
        <w:jc w:val="both"/>
        <w:rPr>
          <w:sz w:val="24"/>
          <w:szCs w:val="24"/>
        </w:rPr>
      </w:pPr>
      <w:r>
        <w:rPr>
          <w:sz w:val="24"/>
          <w:szCs w:val="24"/>
        </w:rPr>
        <w:t>4.3. ТСЖ</w:t>
      </w:r>
      <w:r w:rsidR="000D33EA" w:rsidRPr="000D33EA">
        <w:rPr>
          <w:sz w:val="24"/>
          <w:szCs w:val="24"/>
        </w:rPr>
        <w:t xml:space="preserve"> не является абонентом коммунальных и иных услуг. При заключении договоров на оказание ком</w:t>
      </w:r>
      <w:r>
        <w:rPr>
          <w:sz w:val="24"/>
          <w:szCs w:val="24"/>
        </w:rPr>
        <w:t xml:space="preserve">мунальных и иных услуг ТСЖ </w:t>
      </w:r>
      <w:r w:rsidR="000D33EA" w:rsidRPr="000D33EA">
        <w:rPr>
          <w:sz w:val="24"/>
          <w:szCs w:val="24"/>
        </w:rPr>
        <w:t xml:space="preserve"> выступает как представитель всех собственн</w:t>
      </w:r>
      <w:r w:rsidR="000D33EA" w:rsidRPr="000D33EA">
        <w:rPr>
          <w:sz w:val="24"/>
          <w:szCs w:val="24"/>
        </w:rPr>
        <w:t>и</w:t>
      </w:r>
      <w:r w:rsidR="000D33EA" w:rsidRPr="000D33EA">
        <w:rPr>
          <w:sz w:val="24"/>
          <w:szCs w:val="24"/>
        </w:rPr>
        <w:t>ков, действуя от их имени, в их интересах и за их счет (ч. 8 ст. 138 ЖК РФ).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lastRenderedPageBreak/>
        <w:t>4.4. Коммунальные платежи собственников начисляются по дебету счета 76-1 «Расчеты с собственниками» в корреспонденции со счетом 76-4 «Расчеты по коммунальным платежам» как транзитные платежи. При этом по кредиту счета 76-4 об</w:t>
      </w:r>
      <w:r w:rsidR="00912024">
        <w:rPr>
          <w:sz w:val="24"/>
          <w:szCs w:val="24"/>
        </w:rPr>
        <w:t xml:space="preserve">разуется обязательство ТСЖ </w:t>
      </w:r>
      <w:r w:rsidRPr="000D33EA">
        <w:rPr>
          <w:sz w:val="24"/>
          <w:szCs w:val="24"/>
        </w:rPr>
        <w:t xml:space="preserve"> п</w:t>
      </w:r>
      <w:r w:rsidRPr="000D33EA">
        <w:rPr>
          <w:sz w:val="24"/>
          <w:szCs w:val="24"/>
        </w:rPr>
        <w:t>е</w:t>
      </w:r>
      <w:r w:rsidRPr="000D33EA">
        <w:rPr>
          <w:sz w:val="24"/>
          <w:szCs w:val="24"/>
        </w:rPr>
        <w:t>ред собственниками по использованию начисленных коммунальных платежей для расчетов с обслуживающими организациями. При начислении платежей указанным организациям счет 76-4 дебетуется в корреспонденции со счетом 60 «Расчеты с поставщиками и подрядчик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 xml:space="preserve">ми».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4.5. В конце отчетного года излишне начисленные коммунальные платежи (кредитовое сал</w:t>
      </w:r>
      <w:r w:rsidRPr="000D33EA">
        <w:rPr>
          <w:sz w:val="24"/>
          <w:szCs w:val="24"/>
        </w:rPr>
        <w:t>ь</w:t>
      </w:r>
      <w:r w:rsidRPr="000D33EA">
        <w:rPr>
          <w:sz w:val="24"/>
          <w:szCs w:val="24"/>
        </w:rPr>
        <w:t>до по счету 76-4) сторнируются либо, по р</w:t>
      </w:r>
      <w:r w:rsidR="00912024">
        <w:rPr>
          <w:sz w:val="24"/>
          <w:szCs w:val="24"/>
        </w:rPr>
        <w:t>ешению общего собрания ТСЖ</w:t>
      </w:r>
      <w:r w:rsidRPr="000D33EA">
        <w:rPr>
          <w:sz w:val="24"/>
          <w:szCs w:val="24"/>
        </w:rPr>
        <w:t>, используются по назначению в последующих отчетных периодах.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5. Учет основных средств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5.1. Жилищный фонд и нежилые помещения, принадлежащие собственникам, не</w:t>
      </w:r>
      <w:r w:rsidR="00912024">
        <w:rPr>
          <w:sz w:val="24"/>
          <w:szCs w:val="24"/>
        </w:rPr>
        <w:t xml:space="preserve"> отражаются на балансе ТСЖ</w:t>
      </w:r>
      <w:r w:rsidRPr="000D33EA">
        <w:rPr>
          <w:sz w:val="24"/>
          <w:szCs w:val="24"/>
        </w:rPr>
        <w:t xml:space="preserve">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5.2. Пр</w:t>
      </w:r>
      <w:r w:rsidR="00912024">
        <w:rPr>
          <w:sz w:val="24"/>
          <w:szCs w:val="24"/>
        </w:rPr>
        <w:t>очие основные средства ТСЖ</w:t>
      </w:r>
      <w:r w:rsidRPr="000D33EA">
        <w:rPr>
          <w:sz w:val="24"/>
          <w:szCs w:val="24"/>
        </w:rPr>
        <w:t xml:space="preserve"> учитываются на субсчете 01-2 по первоначальной (во</w:t>
      </w:r>
      <w:r w:rsidRPr="000D33EA">
        <w:rPr>
          <w:sz w:val="24"/>
          <w:szCs w:val="24"/>
        </w:rPr>
        <w:t>с</w:t>
      </w:r>
      <w:r w:rsidRPr="000D33EA">
        <w:rPr>
          <w:sz w:val="24"/>
          <w:szCs w:val="24"/>
        </w:rPr>
        <w:t>становительной) стоимости.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5.3. По основным средствам, используемым для уставной деятельности, амортизация не н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числяется и счет 02 не используется. Износ по указанному имуществу отражается на заб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лансовом счете 010.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5.4. По основным средствам, используемым для предпринимательской деятельности, амо</w:t>
      </w:r>
      <w:r w:rsidRPr="000D33EA">
        <w:rPr>
          <w:sz w:val="24"/>
          <w:szCs w:val="24"/>
        </w:rPr>
        <w:t>р</w:t>
      </w:r>
      <w:r w:rsidRPr="000D33EA">
        <w:rPr>
          <w:sz w:val="24"/>
          <w:szCs w:val="24"/>
        </w:rPr>
        <w:t xml:space="preserve">тизация начисляется в общеустановленном порядке с использованием счета 02. (Данный пункт опускается, если такие основные средства отсутствуют).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5.5. Износ и амортизация начисляются по установленным нормам в течение срока полезного использования основных средств с применением линейного (пропорционального) метода.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5.6. Сумма дооценки основных средств, используемых для уставной деятельности, относится на увеличение целевых поступлений (кредит счета 86, соответствующий субсчет). Сумма д</w:t>
      </w:r>
      <w:r w:rsidRPr="000D33EA">
        <w:rPr>
          <w:sz w:val="24"/>
          <w:szCs w:val="24"/>
        </w:rPr>
        <w:t>о</w:t>
      </w:r>
      <w:r w:rsidRPr="000D33EA">
        <w:rPr>
          <w:sz w:val="24"/>
          <w:szCs w:val="24"/>
        </w:rPr>
        <w:t>оценки основных средств, используемых для предпринимательской деятельности, относится на добавочный капитал (кредит счета 83).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5.7. Износ прочих основных средств, используемых для уставной деятельности, покрывается за счет членских взносов (резерв на восстановление прочих основных средств).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5.8. Объекты основных средств стоимостью в пределах 20000 рублей за единицу списываю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>ся на расходы по смете  сразу при их вводе в эксплуатацию. Износ (амортизация) по указа</w:t>
      </w:r>
      <w:r w:rsidRPr="000D33EA">
        <w:rPr>
          <w:sz w:val="24"/>
          <w:szCs w:val="24"/>
        </w:rPr>
        <w:t>н</w:t>
      </w:r>
      <w:r w:rsidRPr="000D33EA">
        <w:rPr>
          <w:sz w:val="24"/>
          <w:szCs w:val="24"/>
        </w:rPr>
        <w:t>ным объектам не начисляется. В целях обеспечения их сохранности организуется соответс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 xml:space="preserve">вующий оперативный учет и контроль.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6. Учет нематериальных активов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6.1. Нематериальные активы принимаются к учету на счете 04 «Нематериальные активы» по первоначальной стоимости.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6.2. По нематериальным активам, используемым для уставной деятельности, износ и аморт</w:t>
      </w:r>
      <w:r w:rsidRPr="000D33EA">
        <w:rPr>
          <w:sz w:val="24"/>
          <w:szCs w:val="24"/>
        </w:rPr>
        <w:t>и</w:t>
      </w:r>
      <w:r w:rsidRPr="000D33EA">
        <w:rPr>
          <w:sz w:val="24"/>
          <w:szCs w:val="24"/>
        </w:rPr>
        <w:t>зация не начисляются.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6.3. По нематериальным активам, используемым для предпринимательской деятельности, амортизация списывается непосредственно в кредит счета 04 «Нематериальные активы» без использования счета 05 «Амортизация нематериальных активов».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6.4. Величина амортизационных отчислений по указанным нематериальным активам опред</w:t>
      </w:r>
      <w:r w:rsidRPr="000D33EA">
        <w:rPr>
          <w:sz w:val="24"/>
          <w:szCs w:val="24"/>
        </w:rPr>
        <w:t>е</w:t>
      </w:r>
      <w:r w:rsidRPr="000D33EA">
        <w:rPr>
          <w:sz w:val="24"/>
          <w:szCs w:val="24"/>
        </w:rPr>
        <w:t>ляется линейным методом на основе срока полезного использ</w:t>
      </w:r>
      <w:r w:rsidR="00912024">
        <w:rPr>
          <w:sz w:val="24"/>
          <w:szCs w:val="24"/>
        </w:rPr>
        <w:t>ования, установленного ТСЖ</w:t>
      </w:r>
      <w:r w:rsidRPr="000D33EA">
        <w:rPr>
          <w:sz w:val="24"/>
          <w:szCs w:val="24"/>
        </w:rPr>
        <w:t>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7. Учет материалов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7.1. Материалы приобретаются в объемах, регламентируемых сметой.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7.2. Складской у</w:t>
      </w:r>
      <w:r w:rsidR="00912024">
        <w:rPr>
          <w:sz w:val="24"/>
          <w:szCs w:val="24"/>
        </w:rPr>
        <w:t>чет материалов не предусмотрен.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lastRenderedPageBreak/>
        <w:t>7.3. Синтетический учет материалов, используемых для уставной деятельности, не пред</w:t>
      </w:r>
      <w:r w:rsidRPr="000D33EA">
        <w:rPr>
          <w:sz w:val="24"/>
          <w:szCs w:val="24"/>
        </w:rPr>
        <w:t>у</w:t>
      </w:r>
      <w:r w:rsidR="00912024">
        <w:rPr>
          <w:sz w:val="24"/>
          <w:szCs w:val="24"/>
        </w:rPr>
        <w:t>смотрен</w:t>
      </w:r>
      <w:r w:rsidRPr="000D33EA">
        <w:rPr>
          <w:sz w:val="24"/>
          <w:szCs w:val="24"/>
        </w:rPr>
        <w:t xml:space="preserve">. Вся стоимость приобретенных материалов относится на расходы по смете сразу по их приобретении.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7.4. Материалы, используемые в предпринимательской деятельности, отражаются на счете 10 по их фактической стоимости.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7.5. Оперативный учет затрат на приобретение материалов, используемых для уставной де</w:t>
      </w:r>
      <w:r w:rsidRPr="000D33EA">
        <w:rPr>
          <w:sz w:val="24"/>
          <w:szCs w:val="24"/>
        </w:rPr>
        <w:t>я</w:t>
      </w:r>
      <w:r w:rsidRPr="000D33EA">
        <w:rPr>
          <w:sz w:val="24"/>
          <w:szCs w:val="24"/>
        </w:rPr>
        <w:t>тельности, ведется в сопоставлении с соответствующими статьями сметы. Контроль сохра</w:t>
      </w:r>
      <w:r w:rsidRPr="000D33EA">
        <w:rPr>
          <w:sz w:val="24"/>
          <w:szCs w:val="24"/>
        </w:rPr>
        <w:t>н</w:t>
      </w:r>
      <w:r w:rsidRPr="000D33EA">
        <w:rPr>
          <w:sz w:val="24"/>
          <w:szCs w:val="24"/>
        </w:rPr>
        <w:t>ности материалов осуществляется в административном порядке до их полного использов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ния.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8. Учет текущих расходов по уставной деятельности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8.1. Все расходы по ведению уставной деятельности, т</w:t>
      </w:r>
      <w:r w:rsidR="00912024">
        <w:rPr>
          <w:sz w:val="24"/>
          <w:szCs w:val="24"/>
        </w:rPr>
        <w:t>о есть</w:t>
      </w:r>
      <w:r w:rsidRPr="000D33EA">
        <w:rPr>
          <w:sz w:val="24"/>
          <w:szCs w:val="24"/>
        </w:rPr>
        <w:t xml:space="preserve"> расходы по обеспечению эк</w:t>
      </w:r>
      <w:r w:rsidRPr="000D33EA">
        <w:rPr>
          <w:sz w:val="24"/>
          <w:szCs w:val="24"/>
        </w:rPr>
        <w:t>с</w:t>
      </w:r>
      <w:r w:rsidRPr="000D33EA">
        <w:rPr>
          <w:sz w:val="24"/>
          <w:szCs w:val="24"/>
        </w:rPr>
        <w:t>плуатации общего имущества, предусматриваются в смете, утверждаемой на календарный год.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8.2. Для отражения расходов по уставной деятельности счета производственных затрат не используются. Начисления и фактические расходы по смете отражаются на счете 96 «Резе</w:t>
      </w:r>
      <w:r w:rsidRPr="000D33EA">
        <w:rPr>
          <w:sz w:val="24"/>
          <w:szCs w:val="24"/>
        </w:rPr>
        <w:t>р</w:t>
      </w:r>
      <w:r w:rsidRPr="000D33EA">
        <w:rPr>
          <w:sz w:val="24"/>
          <w:szCs w:val="24"/>
        </w:rPr>
        <w:t>вы предстоящих расходов», субсчет «Резерв расходов по смете» с возможностью сохранения по данному субсчету как кредитового (экономия по смете), так и дебетового (перерасход по смете) сальдо.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В начале каждого месяца пополняется резерв расходов по смете на величину предусмотре</w:t>
      </w:r>
      <w:r w:rsidRPr="000D33EA">
        <w:rPr>
          <w:sz w:val="24"/>
          <w:szCs w:val="24"/>
        </w:rPr>
        <w:t>н</w:t>
      </w:r>
      <w:r w:rsidRPr="000D33EA">
        <w:rPr>
          <w:sz w:val="24"/>
          <w:szCs w:val="24"/>
        </w:rPr>
        <w:t>ного сметой месячного объема расходов. Для этого дебетуются счета 86-1 «Целевые посту</w:t>
      </w:r>
      <w:r w:rsidRPr="000D33EA">
        <w:rPr>
          <w:sz w:val="24"/>
          <w:szCs w:val="24"/>
        </w:rPr>
        <w:t>п</w:t>
      </w:r>
      <w:r w:rsidRPr="000D33EA">
        <w:rPr>
          <w:sz w:val="24"/>
          <w:szCs w:val="24"/>
        </w:rPr>
        <w:t>ления собственников» и 76-5 «Расчеты с собственниками – не членами ТСЖ (а при нали</w:t>
      </w:r>
      <w:r w:rsidR="00912024">
        <w:rPr>
          <w:sz w:val="24"/>
          <w:szCs w:val="24"/>
        </w:rPr>
        <w:t>чии у ТСЖ</w:t>
      </w:r>
      <w:r w:rsidRPr="000D33EA">
        <w:rPr>
          <w:sz w:val="24"/>
          <w:szCs w:val="24"/>
        </w:rPr>
        <w:t xml:space="preserve"> нераспределенной прибыли от предпринимательской деятельности – также и счет 84-1) в корреспонденции со счетом 96-1 «Расходы по смете».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Начисляемые фактические расходы по уставной деятельности отражаются по дебету счета 96-1 «Расходы по смете» в корреспонденции со счетами 70 «Расчеты с персоналом по оплате труда», 69 «Расчеты по социальному страхованию и обеспечению», 71 «Расчеты с подотче</w:t>
      </w:r>
      <w:r w:rsidRPr="000D33EA">
        <w:rPr>
          <w:sz w:val="24"/>
          <w:szCs w:val="24"/>
        </w:rPr>
        <w:t>т</w:t>
      </w:r>
      <w:r w:rsidR="00912024">
        <w:rPr>
          <w:sz w:val="24"/>
          <w:szCs w:val="24"/>
        </w:rPr>
        <w:t>ными лицами»</w:t>
      </w:r>
      <w:r w:rsidRPr="000D33EA">
        <w:rPr>
          <w:sz w:val="24"/>
          <w:szCs w:val="24"/>
        </w:rPr>
        <w:t xml:space="preserve">. 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9. Предпринимательская деятельность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9.1. Учет затрат при осуществлении предпринимательской деятельности ведется без их ра</w:t>
      </w:r>
      <w:r w:rsidRPr="000D33EA">
        <w:rPr>
          <w:sz w:val="24"/>
          <w:szCs w:val="24"/>
        </w:rPr>
        <w:t>з</w:t>
      </w:r>
      <w:r w:rsidRPr="000D33EA">
        <w:rPr>
          <w:sz w:val="24"/>
          <w:szCs w:val="24"/>
        </w:rPr>
        <w:t>деления на прямые и косвенные.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9.2. Прочие доходы и расходы, связанные с объектом аренды, отражаются непосредственно на счете 91 «Прочие доходы и расходы» по общим правилам.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9.3. Для целей налогообложения доход от сдачи в аренду помещения определяется по м</w:t>
      </w:r>
      <w:r w:rsidRPr="000D33EA">
        <w:rPr>
          <w:sz w:val="24"/>
          <w:szCs w:val="24"/>
        </w:rPr>
        <w:t>о</w:t>
      </w:r>
      <w:r w:rsidRPr="000D33EA">
        <w:rPr>
          <w:sz w:val="24"/>
          <w:szCs w:val="24"/>
        </w:rPr>
        <w:t xml:space="preserve">менту начисления (вариант: по моменту поступления арендной платы).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9.4. При отражении операций по НДС к возмещению принимаются лишь те фактически у</w:t>
      </w:r>
      <w:r w:rsidRPr="000D33EA">
        <w:rPr>
          <w:sz w:val="24"/>
          <w:szCs w:val="24"/>
        </w:rPr>
        <w:t>п</w:t>
      </w:r>
      <w:r w:rsidRPr="000D33EA">
        <w:rPr>
          <w:sz w:val="24"/>
          <w:szCs w:val="24"/>
        </w:rPr>
        <w:t>лаченные суммы НДС, которые связаны с расходами по объекту аренды.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9.5. Обеспечивается требование раздельного учета уставной и предпринимательской де</w:t>
      </w:r>
      <w:r w:rsidRPr="000D33EA">
        <w:rPr>
          <w:sz w:val="24"/>
          <w:szCs w:val="24"/>
        </w:rPr>
        <w:t>я</w:t>
      </w:r>
      <w:r w:rsidRPr="000D33EA">
        <w:rPr>
          <w:sz w:val="24"/>
          <w:szCs w:val="24"/>
        </w:rPr>
        <w:t>тельности.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9.6. Расходами по объекту аренды признаются только те затраты, которые возникли в связи с арендой и не предусмотрены сметой на ведение уставной деятельности. Расходы по объекту аренды (в том числе коммунальные у</w:t>
      </w:r>
      <w:r w:rsidR="00912024">
        <w:rPr>
          <w:sz w:val="24"/>
          <w:szCs w:val="24"/>
        </w:rPr>
        <w:t>слуги, потребляемые арендатором</w:t>
      </w:r>
      <w:r w:rsidRPr="000D33EA">
        <w:rPr>
          <w:sz w:val="24"/>
          <w:szCs w:val="24"/>
        </w:rPr>
        <w:t>) полностью покр</w:t>
      </w:r>
      <w:r w:rsidRPr="000D33EA">
        <w:rPr>
          <w:sz w:val="24"/>
          <w:szCs w:val="24"/>
        </w:rPr>
        <w:t>ы</w:t>
      </w:r>
      <w:r w:rsidRPr="000D33EA">
        <w:rPr>
          <w:sz w:val="24"/>
          <w:szCs w:val="24"/>
        </w:rPr>
        <w:t>ваются арендной платой и к оплате арендатору не предъявляются. В случае резких колеб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ний расходов величина арендной платы может, в соответствии с договором аренды, соотве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 xml:space="preserve">ственно корректироваться.  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9.7. Использование прибыли, ост</w:t>
      </w:r>
      <w:r w:rsidR="00912024">
        <w:rPr>
          <w:sz w:val="24"/>
          <w:szCs w:val="24"/>
        </w:rPr>
        <w:t>ающейся в распоряжении ТСЖ</w:t>
      </w:r>
      <w:r w:rsidRPr="000D33EA">
        <w:rPr>
          <w:sz w:val="24"/>
          <w:szCs w:val="24"/>
        </w:rPr>
        <w:t xml:space="preserve"> (чистой прибыли), отраж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ется по дебету счета 84 в том отчетном периоде, когда это имело место. Для этой цели о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>крыт субсчет 84-2 «Использование чистой прибыли в течение года».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lastRenderedPageBreak/>
        <w:t>10. Рабочий план счетов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10.1. Рабочий план счетов сформирован на основе общего Плана счетов бухгалтерского уч</w:t>
      </w:r>
      <w:r w:rsidRPr="000D33EA">
        <w:rPr>
          <w:sz w:val="24"/>
          <w:szCs w:val="24"/>
        </w:rPr>
        <w:t>е</w:t>
      </w:r>
      <w:r w:rsidRPr="000D33EA">
        <w:rPr>
          <w:sz w:val="24"/>
          <w:szCs w:val="24"/>
        </w:rPr>
        <w:t>та, утвержденного Приказом Минфина РФ от 31.10.2000г. № 92н.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10.2. При формировании рабочего плана счетов учтены следующие требования:</w:t>
      </w:r>
    </w:p>
    <w:p w:rsidR="000D33EA" w:rsidRPr="000D33EA" w:rsidRDefault="00CD6024" w:rsidP="000D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33EA" w:rsidRPr="000D33EA">
        <w:rPr>
          <w:sz w:val="24"/>
          <w:szCs w:val="24"/>
        </w:rPr>
        <w:t>для использованных счетов первого порядка сохранены их наименования в соответствии с общим Планом счетов;</w:t>
      </w:r>
    </w:p>
    <w:p w:rsidR="000D33EA" w:rsidRPr="000D33EA" w:rsidRDefault="00CD6024" w:rsidP="000D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33EA" w:rsidRPr="000D33EA">
        <w:rPr>
          <w:sz w:val="24"/>
          <w:szCs w:val="24"/>
        </w:rPr>
        <w:t>нумерация и наименование субсчетов учитывают специфику деятельности ТСЖ и ведения бухгалтерского учета.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11. Форма и регистры бухгалтерского учета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CD6024" w:rsidP="000D33EA">
      <w:pPr>
        <w:jc w:val="both"/>
        <w:rPr>
          <w:sz w:val="24"/>
          <w:szCs w:val="24"/>
        </w:rPr>
      </w:pPr>
      <w:r>
        <w:rPr>
          <w:sz w:val="24"/>
          <w:szCs w:val="24"/>
        </w:rPr>
        <w:t>11.1. Для ТСЖ</w:t>
      </w:r>
      <w:r w:rsidR="000D33EA" w:rsidRPr="000D33EA">
        <w:rPr>
          <w:sz w:val="24"/>
          <w:szCs w:val="24"/>
        </w:rPr>
        <w:t xml:space="preserve"> принята модифицированная форма бухгалтерского учета с использованием следующих регистров: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журнал хозяйственных операций;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оборотная ведомость по счетам с определением сальдо на начало каждого месяца.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11.2. Аналитический учет ведется по следующим регистрам: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Целевые поступления (счет 86),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Смета (счет 96-1),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Расчеты по платежам собственников (счет 76-1),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Расчетный счет в банке (счет 51),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Кассовая книга (счет 50),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Поставщики (счет 60),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Расчеты с персоналом (счета 70, 71, 73),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Налоги и взносы (счета 68, 69),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Расчеты с арендатором (счет 76-6),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Прибыль (счет 84).</w:t>
      </w:r>
    </w:p>
    <w:p w:rsidR="000D33EA" w:rsidRPr="000D33EA" w:rsidRDefault="000D33EA" w:rsidP="000D33EA">
      <w:pPr>
        <w:rPr>
          <w:sz w:val="24"/>
          <w:szCs w:val="24"/>
        </w:rPr>
      </w:pPr>
    </w:p>
    <w:p w:rsidR="00CD6024" w:rsidRDefault="00CD6024" w:rsidP="00CD6024">
      <w:pPr>
        <w:jc w:val="center"/>
        <w:rPr>
          <w:sz w:val="24"/>
          <w:szCs w:val="24"/>
        </w:rPr>
      </w:pPr>
    </w:p>
    <w:p w:rsidR="00CD6024" w:rsidRDefault="00CD6024" w:rsidP="00CD6024">
      <w:pPr>
        <w:jc w:val="center"/>
        <w:rPr>
          <w:sz w:val="24"/>
          <w:szCs w:val="24"/>
        </w:rPr>
      </w:pPr>
    </w:p>
    <w:p w:rsidR="00CD6024" w:rsidRDefault="00CD6024" w:rsidP="00CD6024">
      <w:pPr>
        <w:jc w:val="center"/>
        <w:rPr>
          <w:sz w:val="24"/>
          <w:szCs w:val="24"/>
        </w:rPr>
      </w:pPr>
    </w:p>
    <w:p w:rsidR="00FE2F56" w:rsidRPr="000D33EA" w:rsidRDefault="00CD6024" w:rsidP="00CD602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E718D">
        <w:rPr>
          <w:sz w:val="24"/>
          <w:szCs w:val="24"/>
        </w:rPr>
        <w:t xml:space="preserve"> правления </w:t>
      </w:r>
      <w:r>
        <w:rPr>
          <w:sz w:val="24"/>
          <w:szCs w:val="24"/>
        </w:rPr>
        <w:t xml:space="preserve"> ТСЖ «Забота» Степанов ВВ.</w:t>
      </w:r>
    </w:p>
    <w:sectPr w:rsidR="00FE2F56" w:rsidRPr="000D33EA" w:rsidSect="00B65189">
      <w:footerReference w:type="default" r:id="rId6"/>
      <w:type w:val="continuous"/>
      <w:pgSz w:w="11909" w:h="16834"/>
      <w:pgMar w:top="1134" w:right="567" w:bottom="1134" w:left="1701" w:header="340" w:footer="34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05" w:rsidRDefault="006D4505" w:rsidP="000D33EA">
      <w:r>
        <w:separator/>
      </w:r>
    </w:p>
  </w:endnote>
  <w:endnote w:type="continuationSeparator" w:id="0">
    <w:p w:rsidR="006D4505" w:rsidRDefault="006D4505" w:rsidP="000D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6594"/>
      <w:docPartObj>
        <w:docPartGallery w:val="Page Numbers (Bottom of Page)"/>
        <w:docPartUnique/>
      </w:docPartObj>
    </w:sdtPr>
    <w:sdtContent>
      <w:p w:rsidR="00B65189" w:rsidRDefault="00B65189">
        <w:pPr>
          <w:pStyle w:val="af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65189" w:rsidRDefault="00B651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05" w:rsidRDefault="006D4505" w:rsidP="000D33EA">
      <w:r>
        <w:separator/>
      </w:r>
    </w:p>
  </w:footnote>
  <w:footnote w:type="continuationSeparator" w:id="0">
    <w:p w:rsidR="006D4505" w:rsidRDefault="006D4505" w:rsidP="000D3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3EA"/>
    <w:rsid w:val="00006A67"/>
    <w:rsid w:val="00074347"/>
    <w:rsid w:val="000A6D87"/>
    <w:rsid w:val="000B2D53"/>
    <w:rsid w:val="000D33EA"/>
    <w:rsid w:val="00131E51"/>
    <w:rsid w:val="0041378E"/>
    <w:rsid w:val="004B04AB"/>
    <w:rsid w:val="00594371"/>
    <w:rsid w:val="00681927"/>
    <w:rsid w:val="006D4505"/>
    <w:rsid w:val="006F30FE"/>
    <w:rsid w:val="007E1FA7"/>
    <w:rsid w:val="007F7A7F"/>
    <w:rsid w:val="00884E48"/>
    <w:rsid w:val="008B249E"/>
    <w:rsid w:val="00912024"/>
    <w:rsid w:val="009E7B64"/>
    <w:rsid w:val="00A12DBB"/>
    <w:rsid w:val="00B00052"/>
    <w:rsid w:val="00B60EFE"/>
    <w:rsid w:val="00B65189"/>
    <w:rsid w:val="00B66608"/>
    <w:rsid w:val="00BE718D"/>
    <w:rsid w:val="00CD6024"/>
    <w:rsid w:val="00FE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D33EA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D33EA"/>
    <w:rPr>
      <w:rFonts w:eastAsia="Times New Roman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33EA"/>
  </w:style>
  <w:style w:type="character" w:customStyle="1" w:styleId="a4">
    <w:name w:val="Текст сноски Знак"/>
    <w:basedOn w:val="a0"/>
    <w:link w:val="a3"/>
    <w:uiPriority w:val="99"/>
    <w:semiHidden/>
    <w:rsid w:val="000D33EA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D33EA"/>
    <w:pPr>
      <w:jc w:val="center"/>
    </w:pPr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33EA"/>
    <w:rPr>
      <w:rFonts w:eastAsia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D33EA"/>
    <w:pPr>
      <w:widowControl w:val="0"/>
      <w:autoSpaceDE w:val="0"/>
      <w:autoSpaceDN w:val="0"/>
      <w:adjustRightInd w:val="0"/>
      <w:spacing w:line="360" w:lineRule="auto"/>
      <w:ind w:firstLine="397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33EA"/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33E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33EA"/>
    <w:rPr>
      <w:rFonts w:eastAsia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D33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33EA"/>
    <w:rPr>
      <w:rFonts w:eastAsia="Times New Roman"/>
      <w:sz w:val="16"/>
      <w:szCs w:val="16"/>
      <w:lang w:eastAsia="ru-RU"/>
    </w:rPr>
  </w:style>
  <w:style w:type="character" w:styleId="a9">
    <w:name w:val="footnote reference"/>
    <w:basedOn w:val="a0"/>
    <w:uiPriority w:val="99"/>
    <w:semiHidden/>
    <w:unhideWhenUsed/>
    <w:rsid w:val="000D33EA"/>
    <w:rPr>
      <w:vertAlign w:val="superscript"/>
    </w:rPr>
  </w:style>
  <w:style w:type="paragraph" w:styleId="aa">
    <w:name w:val="List Paragraph"/>
    <w:basedOn w:val="a"/>
    <w:uiPriority w:val="34"/>
    <w:qFormat/>
    <w:rsid w:val="00A12D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A6D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D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651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5189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651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518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Степанов</cp:lastModifiedBy>
  <cp:revision>11</cp:revision>
  <cp:lastPrinted>2013-12-06T10:13:00Z</cp:lastPrinted>
  <dcterms:created xsi:type="dcterms:W3CDTF">2011-12-17T18:00:00Z</dcterms:created>
  <dcterms:modified xsi:type="dcterms:W3CDTF">2013-12-06T10:13:00Z</dcterms:modified>
</cp:coreProperties>
</file>